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96" w:rsidRPr="00974C96" w:rsidRDefault="00974C96" w:rsidP="00974C9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9A9A9A"/>
          <w:sz w:val="20"/>
          <w:szCs w:val="20"/>
          <w:lang w:eastAsia="ru-RU"/>
        </w:rPr>
      </w:pPr>
      <w:r w:rsidRPr="00974C96">
        <w:rPr>
          <w:rFonts w:ascii="Times New Roman" w:eastAsia="Times New Roman" w:hAnsi="Times New Roman" w:cs="Times New Roman"/>
          <w:color w:val="9A9A9A"/>
          <w:sz w:val="20"/>
          <w:lang w:eastAsia="ru-RU"/>
        </w:rPr>
        <w:t>3 марта 2020 г.</w:t>
      </w:r>
    </w:p>
    <w:p w:rsidR="00974C96" w:rsidRPr="00974C96" w:rsidRDefault="00974C96" w:rsidP="00974C96">
      <w:pPr>
        <w:spacing w:line="240" w:lineRule="auto"/>
        <w:textAlignment w:val="center"/>
        <w:rPr>
          <w:rFonts w:ascii="Times New Roman" w:eastAsia="Times New Roman" w:hAnsi="Times New Roman" w:cs="Times New Roman"/>
          <w:color w:val="9A9A9A"/>
          <w:sz w:val="20"/>
          <w:szCs w:val="20"/>
          <w:lang w:eastAsia="ru-RU"/>
        </w:rPr>
      </w:pPr>
      <w:hyperlink r:id="rId4" w:history="1">
        <w:r w:rsidRPr="00974C96">
          <w:rPr>
            <w:rFonts w:ascii="Times New Roman" w:eastAsia="Times New Roman" w:hAnsi="Times New Roman" w:cs="Times New Roman"/>
            <w:color w:val="9A9A9A"/>
            <w:sz w:val="20"/>
            <w:u w:val="single"/>
            <w:lang w:eastAsia="ru-RU"/>
          </w:rPr>
          <w:t>Российская газета - Федеральный выпуск № 45(8099)</w:t>
        </w:r>
      </w:hyperlink>
    </w:p>
    <w:p w:rsidR="00974C96" w:rsidRPr="00974C96" w:rsidRDefault="00974C96" w:rsidP="00974C9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974C96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Федеральный закон от 1 марта 2020 г.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Принят</w:t>
      </w:r>
      <w:proofErr w:type="gramEnd"/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 xml:space="preserve"> Государственной Думой 18 февраля 2020 года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Одобрен</w:t>
      </w:r>
      <w:proofErr w:type="gramEnd"/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 xml:space="preserve"> Советом Федерации 26 февраля 2020 года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Статья 1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Внести в Федеральный закон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2019, N 52, ст. 7765) следующие изменения: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1) преамбулу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2) статью 1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1.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Основные понятия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целях настоящего Федерального закона используются следующие основные понятия: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биотехнологического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происхождения в натуральном, обработанном или переработанном виде, которые предназначены для употребления человеком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ароматизаторы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а также продовольственное сырье;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нутриентов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) и энергетическую ценность;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пробиотических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 (или) технологических микроорганизмов в декларированных количествах);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3) части вторую и третью статьи 2 признать утратившими силу;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4) дополнить статьей 2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2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Принципы здорового питания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соответствие энергетической ценности ежедневного рациона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энергозатратам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макронутриентах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микронутриентах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обеспечение максимально разнообразного здорового питания и оптимального его режима;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исключение использования фальсифицированных пищевых продуктов, материалов и изделий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5) статьи 3 - 5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3.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Обращение пищевых продуктов, материалов и изделий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Запрещается обращение пищевых продуктов, материалов и изделий: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которые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являются опасными и (или) некачественными по органолептическим показателям;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отношении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которых установлен факт фальсификации;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отношении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которых не может быть подтверждена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прослеживаемость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которые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не имеют товаросопроводительных документов.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4.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Обеспечение качества и безопасности пищевых продуктов, материалов и изделий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Качество и безопасность пищевых продуктов, материалов и изделий обеспечиваются посредством: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проведения производственного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контроля за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маркировки отдельных видов пищевых продуктов средствами идентификации;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контроля за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качеством и безопасностью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организации информационно-просветительской работы по формированию культуры здорового питания;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поддержки производства пищевых продуктов для здорового питания.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5.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Информация о качестве и безопасности пищевых продуктов, материалов и изделий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6) в статье 6: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наименовании слова "Российской Федерации" заменить словами "органов государственной власти";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пункт 1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разработка и проведение в Российской Федерации единой государственной политики;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разработка и контроль реализации документов стратегического планирования, утвержденных (одобренных) федеральными органами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государственной власти, в области обеспечения качества и безопасности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внедрение принципов здорового питания и содействие их распространению;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и проведение государственного надзора;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осуществление международного сотрудничества Российской Федерации;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7) статью 9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9.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Требования к пищевым продуктам, материалам и изделиям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контролю за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2.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Российской Федерации меры стимулирования правового, экономического и организационного характера.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3.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8) статью 10 признать утратившей силу;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9) статью 12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12.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Подтверждение соответствия пищевых продуктов, материалов и изделий и процессов их производства (изготовления)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10) в статье 13: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1: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 первый после слов "санитарно-эпидемиологического надзора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 второй после слов "санитарно-карантинного контроля" дополнить словами ", карантинного фитосанитарного контроля";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абзаце втором пункта 2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в) пункт 3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11) в статье 15: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1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пункт 2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Пищевые продукты для питания детей должны быть безопасными для их здоровья.";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12) в статье 16: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абзаце первом пункта 1 слова "изготовлении и обороте" заменить словом "обращении";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2: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первом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пятом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пункт 3 признать утратившим силу;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13) в статье 17: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1: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 абзаце первом слова "техническими документами" заменить словами "технической документацией", слова "нормативных документов" заменить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словами ", установленных в соответствии с законодательством Российской Федерации";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 второй признать утратившим силу;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абзаце первом пункта 2 слова "нормативных документов" заменить словами ", установленным в соответствии с законодательством Российской Федерации";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в пункте 3 слова "продуктов детского питания" заменить словами "пищевых продуктов для питания детей";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г) в абзаце втором пункта 4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) в пункте 5: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первом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 второй признать утратившим силу;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е) пункт 7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"7.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ж) в пункте 8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14) в статье 18: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б) пункт 3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дополнить пунктом 4 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"4.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15) в статье 19: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2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слово "товарно-сопроводительных" заменить словом "товаросопроводительных";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3 слова "нормативных документов" заменить словами ", установленным в соответствии с законодательством Российской Федерации";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16) в статье 20: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пункте 1 слова "нормативных документов" заменить словами ", установленные в соответствии с законодательством Российской Федерации";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4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17) в статье 21: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а) в пункте 1 слова "нормативных документов" заменить словами ", установленным в соответствии с законодательством Российской Федерации";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2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,"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пункт 3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г) в пункте 4: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первом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 второй после слов "санитарно-карантинный контроль" дополнить словами ", карантинный фитосанитарный контроль";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абзацы третий - пятый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"В случае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В случае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18) в статье 22: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пункт 1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2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19) в статье 23: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а) в наименовании слова "по изготовлению и обороту" заменить словами ",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связанную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 обращением";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в пункте 1 слова "изготовлением и оборотом" заменить словом "обращением";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в пункте 2 слова "изготовления и оборота" заменить словом "обращения";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20) в статье 24: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а) в наименовании слова "оборота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некачественных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и" заменить словами "обращения некачественных и (или)";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б) в пункте 1: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первом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втором слово "оборота" заменить словом "обращения";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пункт 2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"2. В случае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21) в статье 25: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наименование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"Статья 25.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пункт 1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в) в пункте 2: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первом слова "Некачественные и" заменить словами "Некачественные и (или)";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 абзаце втором второе предложение исключить;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дополнить абзацами 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г) пункт 3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spellStart"/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) дополнить пунктом 3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"3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е) пункт 4 изложить в следующей редакции: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"4.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ж) в пункте 5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з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) в пункте 6: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дополнить абзацем 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индивидуальным предпринимателем,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осуществляющими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деятельность по утилизации или уничтожению таких пищевых продуктов, материалов и изделий.";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22) дополнить главами IV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и IV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"Глава IV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 Организация питания детей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Требования к обеспечению качества и безопасности пищевых продуктов для питания детей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Организация питания детей в образовательных организациях и организациях отдыха детей и их оздоровления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Питание детей, обучающихся по основным общеобразовательным программам, образовательным программам среднего профессионального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коллективах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, установленных в соответствии с законодательством Российской Федерации.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Нормирование обеспечения питанием детей в организованных детских коллективах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1.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2.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Глава IV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 Организация качественного, безопасного и здорового питания отдельных категорий граждан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Особенности качественного, безопасного и здорового питания пациентов медицинских организаций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Особенности организации питания лиц пожилого возраста, лиц с ограниченными возможностями здоровья и инвалидов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Статья 25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 </w:t>
      </w: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Особенности организации питания работников, занятых на работах с вредными и (или) опасными условиями труда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23) в статье 26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слово "обороту" заменить словом "обращению";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24) в статье 29: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а) в наименовании слова "и контроля" исключить;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б) слова "и контроля" исключить.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Статья 2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Внести в статью 37 Федерального закона от 29 декабря 2012 года N 273-Ф3 "Об образовании в Российской Федерации" (Собрание законодательства 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lastRenderedPageBreak/>
        <w:t>Российской Федерации, 2012, N 53, ст. 7598; 2016, N 27, ст. 4160) следующие изменения: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1) дополнить частью 2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 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"2</w:t>
      </w:r>
      <w:r w:rsidRPr="00974C96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. 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2) дополнить частью 5 следующего содержания: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софинансирование</w:t>
      </w:r>
      <w:proofErr w:type="spellEnd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.".</w:t>
      </w:r>
      <w:proofErr w:type="gramEnd"/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Статья 3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 пункта 1 статьи 2 настоящего Федерального закона.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2. Пункт 1 статьи 2 настоящего Федерального закона вступает в силу с 1 сентября 2020 года.</w:t>
      </w:r>
    </w:p>
    <w:p w:rsidR="00974C96" w:rsidRPr="00974C96" w:rsidRDefault="00974C96" w:rsidP="00974C96">
      <w:pPr>
        <w:spacing w:after="306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974C96" w:rsidRPr="00974C96" w:rsidRDefault="00974C96" w:rsidP="00974C96">
      <w:pPr>
        <w:spacing w:after="306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5"/>
          <w:szCs w:val="25"/>
          <w:lang w:eastAsia="ru-RU"/>
        </w:rPr>
      </w:pPr>
      <w:r w:rsidRPr="00974C96">
        <w:rPr>
          <w:rFonts w:ascii="Arial" w:eastAsia="Times New Roman" w:hAnsi="Arial" w:cs="Arial"/>
          <w:b/>
          <w:bCs/>
          <w:color w:val="000000"/>
          <w:spacing w:val="3"/>
          <w:sz w:val="25"/>
          <w:lang w:eastAsia="ru-RU"/>
        </w:rPr>
        <w:t>Президент Российской Федерации В. Путин</w:t>
      </w:r>
    </w:p>
    <w:p w:rsidR="00023C22" w:rsidRDefault="00023C22"/>
    <w:sectPr w:rsidR="00023C22" w:rsidSect="0002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4C96"/>
    <w:rsid w:val="00023C22"/>
    <w:rsid w:val="0097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2"/>
  </w:style>
  <w:style w:type="paragraph" w:styleId="1">
    <w:name w:val="heading 1"/>
    <w:basedOn w:val="a"/>
    <w:link w:val="10"/>
    <w:uiPriority w:val="9"/>
    <w:qFormat/>
    <w:rsid w:val="00974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974C96"/>
  </w:style>
  <w:style w:type="character" w:styleId="a3">
    <w:name w:val="Hyperlink"/>
    <w:basedOn w:val="a0"/>
    <w:uiPriority w:val="99"/>
    <w:semiHidden/>
    <w:unhideWhenUsed/>
    <w:rsid w:val="00974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4C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418">
          <w:marLeft w:val="0"/>
          <w:marRight w:val="0"/>
          <w:marTop w:val="383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051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94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9475">
              <w:marLeft w:val="0"/>
              <w:marRight w:val="0"/>
              <w:marTop w:val="0"/>
              <w:marBottom w:val="2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gazeta/rg/2020/03/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5415</Words>
  <Characters>30868</Characters>
  <Application>Microsoft Office Word</Application>
  <DocSecurity>0</DocSecurity>
  <Lines>257</Lines>
  <Paragraphs>72</Paragraphs>
  <ScaleCrop>false</ScaleCrop>
  <Company>Microsoft</Company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2021-12-17T11:14:00Z</dcterms:created>
  <dcterms:modified xsi:type="dcterms:W3CDTF">2021-12-17T11:14:00Z</dcterms:modified>
</cp:coreProperties>
</file>